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4F077C" w:rsidRDefault="008F1759" w:rsidP="008F1759">
      <w:pPr>
        <w:pStyle w:val="Heading1"/>
        <w:rPr>
          <w:rFonts w:asciiTheme="majorBidi" w:hAnsiTheme="majorBidi" w:cstheme="majorBidi"/>
        </w:rPr>
      </w:pPr>
      <w:r w:rsidRPr="004F077C">
        <w:rPr>
          <w:rFonts w:asciiTheme="majorBidi" w:hAnsiTheme="majorBidi" w:cstheme="majorBidi"/>
        </w:rPr>
        <w:t xml:space="preserve">dessin technique </w:t>
      </w:r>
      <w:r w:rsidRPr="004F077C">
        <w:rPr>
          <w:rFonts w:asciiTheme="majorBidi" w:hAnsiTheme="majorBidi" w:cstheme="majorBidi"/>
        </w:rPr>
        <w:br/>
        <w:t>(120 periodes)</w:t>
      </w:r>
    </w:p>
    <w:p w:rsidR="008F1759" w:rsidRPr="00716BC5" w:rsidRDefault="008F1759" w:rsidP="008F1759">
      <w:pPr>
        <w:pStyle w:val="Heading2"/>
        <w:rPr>
          <w:rFonts w:asciiTheme="majorBidi" w:hAnsiTheme="majorBidi" w:cstheme="majorBidi"/>
          <w:lang w:eastAsia="fr-FR"/>
        </w:rPr>
      </w:pPr>
      <w:r w:rsidRPr="00716BC5">
        <w:rPr>
          <w:rFonts w:asciiTheme="majorBidi" w:hAnsiTheme="majorBidi" w:cstheme="majorBidi"/>
          <w:lang w:eastAsia="fr-FR"/>
        </w:rPr>
        <w:t xml:space="preserve">Contenu </w:t>
      </w:r>
    </w:p>
    <w:p w:rsidR="008F1759" w:rsidRPr="004F077C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4F077C">
        <w:rPr>
          <w:rFonts w:asciiTheme="majorBidi" w:hAnsiTheme="majorBidi" w:cstheme="majorBidi"/>
          <w:u w:val="single"/>
          <w:lang w:val="fr-FR" w:eastAsia="fr-FR"/>
        </w:rPr>
        <w:t xml:space="preserve">Chapitre 1 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>Normes et traits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1.1  But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du dessin technique.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1.2 Matériels utilisés par le dessinateur.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1.3 Généralités sur la normalisation.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1.4 Ecritures et présentation du dessin.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1.5 Formats et traits.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1.6 Cotations.</w:t>
      </w:r>
    </w:p>
    <w:p w:rsidR="008F1759" w:rsidRPr="004F077C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4F077C">
        <w:rPr>
          <w:rFonts w:asciiTheme="majorBidi" w:hAnsiTheme="majorBidi" w:cstheme="majorBidi"/>
          <w:u w:val="single"/>
          <w:lang w:val="fr-FR" w:eastAsia="fr-FR"/>
        </w:rPr>
        <w:t xml:space="preserve">Chapitre 2 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>Raccordements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2.1 But du raccordement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2.2 Les méthodes de raccordements : point et droite, deux droites, droite et cercle, deux cercles.</w:t>
      </w:r>
    </w:p>
    <w:p w:rsidR="008F1759" w:rsidRPr="004F077C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4F077C">
        <w:rPr>
          <w:rFonts w:asciiTheme="majorBidi" w:hAnsiTheme="majorBidi" w:cstheme="majorBidi"/>
          <w:u w:val="single"/>
          <w:lang w:val="fr-FR" w:eastAsia="fr-FR"/>
        </w:rPr>
        <w:t xml:space="preserve">Chapitre 3 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>Projections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3.1 But de la projection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3.2 Les méthodes de projection.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3.3 Projection orthogonale.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3.4 Mise en </w:t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page;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Echelles.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3.5 Vue, demi vue et vue éclatée.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3.6 Exécution de plusieurs formes de pièces (cube, plan incliné, 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3.7 cylindre, sphère, parties cachées...) </w:t>
      </w:r>
    </w:p>
    <w:p w:rsidR="008F1759" w:rsidRPr="004F077C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4F077C">
        <w:rPr>
          <w:rFonts w:asciiTheme="majorBidi" w:hAnsiTheme="majorBidi" w:cstheme="majorBidi"/>
          <w:u w:val="single"/>
          <w:lang w:val="fr-FR" w:eastAsia="fr-FR"/>
        </w:rPr>
        <w:t xml:space="preserve">Chapitre 4 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>Coupes et sections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4.1 But d'une coupe et d'une section.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4.2 Coupe et hachures, demie-coupe.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4.3 Coupe brisée à plans parallèles, à plans </w:t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sécants;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coupe locale.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4.4 Hachures.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4.5 </w:t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Section  sortie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, section rabattue, demi rabattement.</w:t>
      </w:r>
    </w:p>
    <w:p w:rsidR="008F1759" w:rsidRPr="004F077C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4F077C">
        <w:rPr>
          <w:rFonts w:asciiTheme="majorBidi" w:hAnsiTheme="majorBidi" w:cstheme="majorBidi"/>
          <w:u w:val="single"/>
          <w:lang w:val="fr-FR" w:eastAsia="fr-FR"/>
        </w:rPr>
        <w:t xml:space="preserve">Chapitre 5 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>Perspectives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5.1 But et utilité d'une perspective.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5.2 Perspective cavalière.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5.3 Perspective axonométrique.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8F1759" w:rsidRPr="004F077C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4F077C">
        <w:rPr>
          <w:rFonts w:asciiTheme="majorBidi" w:hAnsiTheme="majorBidi" w:cstheme="majorBidi"/>
          <w:u w:val="single"/>
          <w:lang w:val="fr-FR" w:eastAsia="fr-FR"/>
        </w:rPr>
        <w:t xml:space="preserve">Chapitre 6 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>Cotation Tolérance et ajustements</w:t>
      </w:r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6.1 Interchangeabilité</w:t>
      </w:r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6.2 Cotation</w:t>
      </w:r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6.3 Tolérance</w:t>
      </w:r>
    </w:p>
    <w:p w:rsidR="008F1759" w:rsidRPr="004F077C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4F077C">
        <w:rPr>
          <w:rFonts w:asciiTheme="majorBidi" w:hAnsiTheme="majorBidi" w:cstheme="majorBidi"/>
          <w:u w:val="single"/>
          <w:lang w:val="fr-FR" w:eastAsia="fr-FR"/>
        </w:rPr>
        <w:t xml:space="preserve">Chapitre 7 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>Cotation fonctionnelle</w:t>
      </w:r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7.1 Représentation vectorielle des chaînes de cotes</w:t>
      </w:r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7.2 Détermination des chaînes de cotes</w:t>
      </w:r>
    </w:p>
    <w:p w:rsidR="008F1759" w:rsidRPr="004F077C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4F077C">
        <w:rPr>
          <w:rFonts w:asciiTheme="majorBidi" w:hAnsiTheme="majorBidi" w:cstheme="majorBidi"/>
          <w:u w:val="single"/>
          <w:lang w:val="fr-FR" w:eastAsia="fr-FR"/>
        </w:rPr>
        <w:t>Chapitre 8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>Tolérances géométriques</w:t>
      </w:r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8.1 Inscriptions normalisées</w:t>
      </w:r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8.2 Tolérances de forme</w:t>
      </w:r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8.3 Tolérance d'orientation</w:t>
      </w:r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8.4 Tolérance de position</w:t>
      </w:r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8.5 Tolérance de battement</w:t>
      </w:r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8.6 Principe de l’enveloppe</w:t>
      </w:r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8.7 Cotation maximum de matière</w:t>
      </w:r>
    </w:p>
    <w:p w:rsidR="008F1759" w:rsidRPr="00A30822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A30822">
        <w:rPr>
          <w:rFonts w:asciiTheme="majorBidi" w:hAnsiTheme="majorBidi" w:cstheme="majorBidi"/>
          <w:u w:val="single"/>
          <w:lang w:val="fr-FR" w:eastAsia="fr-FR"/>
        </w:rPr>
        <w:t>Chapitre 9</w:t>
      </w:r>
    </w:p>
    <w:p w:rsidR="008F1759" w:rsidRPr="00A30822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A30822">
        <w:rPr>
          <w:rFonts w:asciiTheme="majorBidi" w:hAnsiTheme="majorBidi" w:cstheme="majorBidi"/>
          <w:lang w:val="fr-FR" w:eastAsia="fr-FR"/>
        </w:rPr>
        <w:t>Etats de surface</w:t>
      </w:r>
    </w:p>
    <w:p w:rsidR="008F1759" w:rsidRPr="00A30822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A30822">
        <w:rPr>
          <w:rFonts w:asciiTheme="majorBidi" w:hAnsiTheme="majorBidi" w:cstheme="majorBidi"/>
          <w:sz w:val="22"/>
          <w:szCs w:val="26"/>
          <w:lang w:val="fr-FR" w:eastAsia="fr-FR"/>
        </w:rPr>
        <w:t>9.1 Principaux défauts des surfaces</w:t>
      </w:r>
    </w:p>
    <w:p w:rsidR="008F1759" w:rsidRPr="00A30822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A30822">
        <w:rPr>
          <w:rFonts w:asciiTheme="majorBidi" w:hAnsiTheme="majorBidi" w:cstheme="majorBidi"/>
          <w:sz w:val="22"/>
          <w:szCs w:val="26"/>
          <w:lang w:val="fr-FR" w:eastAsia="fr-FR"/>
        </w:rPr>
        <w:t>9.2 Topographie des surfaces</w:t>
      </w:r>
    </w:p>
    <w:p w:rsidR="008F1759" w:rsidRPr="00A30822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A30822">
        <w:rPr>
          <w:rFonts w:asciiTheme="majorBidi" w:hAnsiTheme="majorBidi" w:cstheme="majorBidi"/>
          <w:sz w:val="22"/>
          <w:szCs w:val="26"/>
          <w:lang w:val="fr-FR" w:eastAsia="fr-FR"/>
        </w:rPr>
        <w:t>9.3 Critères d’évaluation</w:t>
      </w:r>
    </w:p>
    <w:p w:rsidR="008F1759" w:rsidRPr="00A30822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A30822">
        <w:rPr>
          <w:rFonts w:asciiTheme="majorBidi" w:hAnsiTheme="majorBidi" w:cstheme="majorBidi"/>
          <w:sz w:val="22"/>
          <w:szCs w:val="26"/>
          <w:lang w:val="fr-FR" w:eastAsia="fr-FR"/>
        </w:rPr>
        <w:t>9.4 Inscription normalise d'un état de surface par un dessin</w:t>
      </w:r>
    </w:p>
    <w:p w:rsidR="008F1759" w:rsidRPr="00A30822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A30822">
        <w:rPr>
          <w:rFonts w:asciiTheme="majorBidi" w:hAnsiTheme="majorBidi" w:cstheme="majorBidi"/>
          <w:u w:val="single"/>
          <w:lang w:val="fr-FR" w:eastAsia="fr-FR"/>
        </w:rPr>
        <w:t>Chapitre 10</w:t>
      </w:r>
    </w:p>
    <w:p w:rsidR="008F1759" w:rsidRPr="00A30822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A30822">
        <w:rPr>
          <w:rFonts w:asciiTheme="majorBidi" w:hAnsiTheme="majorBidi" w:cstheme="majorBidi"/>
          <w:lang w:val="fr-FR" w:eastAsia="fr-FR"/>
        </w:rPr>
        <w:t>Construction des liaisons mécaniques</w:t>
      </w:r>
    </w:p>
    <w:p w:rsidR="008F1759" w:rsidRPr="00A30822" w:rsidRDefault="008F1759" w:rsidP="008F1759">
      <w:pPr>
        <w:ind w:right="988"/>
        <w:jc w:val="lowKashida"/>
        <w:rPr>
          <w:rFonts w:asciiTheme="majorBidi" w:hAnsiTheme="majorBidi" w:cstheme="majorBidi"/>
          <w:sz w:val="22"/>
          <w:lang w:val="fr-FR"/>
        </w:rPr>
      </w:pPr>
      <w:r w:rsidRPr="00A30822">
        <w:rPr>
          <w:rFonts w:asciiTheme="majorBidi" w:hAnsiTheme="majorBidi" w:cstheme="majorBidi"/>
          <w:sz w:val="22"/>
          <w:lang w:val="fr-FR"/>
        </w:rPr>
        <w:t>10.1 Etude générale de liaison</w:t>
      </w:r>
    </w:p>
    <w:p w:rsidR="008F1759" w:rsidRPr="00A30822" w:rsidRDefault="008F1759" w:rsidP="008F1759">
      <w:pPr>
        <w:ind w:right="988"/>
        <w:jc w:val="lowKashida"/>
        <w:rPr>
          <w:rFonts w:asciiTheme="majorBidi" w:hAnsiTheme="majorBidi" w:cstheme="majorBidi"/>
          <w:sz w:val="22"/>
          <w:lang w:val="fr-FR"/>
        </w:rPr>
      </w:pPr>
      <w:r w:rsidRPr="00A30822">
        <w:rPr>
          <w:rFonts w:asciiTheme="majorBidi" w:hAnsiTheme="majorBidi" w:cstheme="majorBidi"/>
          <w:sz w:val="22"/>
          <w:lang w:val="fr-FR"/>
        </w:rPr>
        <w:t>10.2 Liaison par filetage</w:t>
      </w:r>
    </w:p>
    <w:p w:rsidR="008F1759" w:rsidRPr="00A30822" w:rsidRDefault="008F1759" w:rsidP="008F1759">
      <w:pPr>
        <w:ind w:right="988"/>
        <w:jc w:val="lowKashida"/>
        <w:rPr>
          <w:rFonts w:asciiTheme="majorBidi" w:hAnsiTheme="majorBidi" w:cstheme="majorBidi"/>
          <w:sz w:val="22"/>
          <w:lang w:val="fr-FR"/>
        </w:rPr>
      </w:pPr>
      <w:r w:rsidRPr="00A30822">
        <w:rPr>
          <w:rFonts w:asciiTheme="majorBidi" w:hAnsiTheme="majorBidi" w:cstheme="majorBidi"/>
          <w:sz w:val="22"/>
          <w:lang w:val="fr-FR"/>
        </w:rPr>
        <w:t>10.3 Les organes assurant les liaisons</w:t>
      </w:r>
    </w:p>
    <w:p w:rsidR="008F1759" w:rsidRPr="00A30822" w:rsidRDefault="008F1759" w:rsidP="008F1759">
      <w:pPr>
        <w:ind w:right="988"/>
        <w:jc w:val="lowKashida"/>
        <w:rPr>
          <w:rFonts w:asciiTheme="majorBidi" w:hAnsiTheme="majorBidi" w:cstheme="majorBidi"/>
          <w:sz w:val="22"/>
          <w:lang w:val="fr-FR"/>
        </w:rPr>
      </w:pPr>
      <w:r w:rsidRPr="00A30822">
        <w:rPr>
          <w:rFonts w:asciiTheme="majorBidi" w:hAnsiTheme="majorBidi" w:cstheme="majorBidi"/>
          <w:sz w:val="22"/>
          <w:lang w:val="fr-FR"/>
        </w:rPr>
        <w:t>10.4 Les vis d'assemblage, de pression....</w:t>
      </w:r>
    </w:p>
    <w:p w:rsidR="008F1759" w:rsidRPr="00A30822" w:rsidRDefault="008F1759" w:rsidP="008F1759">
      <w:pPr>
        <w:ind w:right="988"/>
        <w:jc w:val="lowKashida"/>
        <w:rPr>
          <w:rFonts w:asciiTheme="majorBidi" w:hAnsiTheme="majorBidi" w:cstheme="majorBidi"/>
          <w:sz w:val="22"/>
          <w:lang w:val="fr-FR"/>
        </w:rPr>
      </w:pPr>
      <w:r w:rsidRPr="00A30822">
        <w:rPr>
          <w:rFonts w:asciiTheme="majorBidi" w:hAnsiTheme="majorBidi" w:cstheme="majorBidi"/>
          <w:sz w:val="22"/>
          <w:lang w:val="fr-FR"/>
        </w:rPr>
        <w:t>10.5 Les écrous (à la main, à la clé, écrous-freins)</w:t>
      </w:r>
    </w:p>
    <w:p w:rsidR="008F1759" w:rsidRPr="00A30822" w:rsidRDefault="008F1759" w:rsidP="008F1759">
      <w:pPr>
        <w:ind w:right="988"/>
        <w:jc w:val="lowKashida"/>
        <w:rPr>
          <w:rFonts w:asciiTheme="majorBidi" w:hAnsiTheme="majorBidi" w:cstheme="majorBidi"/>
          <w:sz w:val="22"/>
          <w:lang w:val="fr-FR"/>
        </w:rPr>
      </w:pPr>
      <w:r w:rsidRPr="00A30822">
        <w:rPr>
          <w:rFonts w:asciiTheme="majorBidi" w:hAnsiTheme="majorBidi" w:cstheme="majorBidi"/>
          <w:sz w:val="22"/>
          <w:lang w:val="fr-FR"/>
        </w:rPr>
        <w:t>10.6 Les rondelles (différents types)</w:t>
      </w:r>
    </w:p>
    <w:p w:rsidR="008F1759" w:rsidRPr="00A30822" w:rsidRDefault="008F1759" w:rsidP="008F1759">
      <w:pPr>
        <w:ind w:right="988"/>
        <w:jc w:val="lowKashida"/>
        <w:rPr>
          <w:rFonts w:asciiTheme="majorBidi" w:hAnsiTheme="majorBidi" w:cstheme="majorBidi"/>
          <w:sz w:val="22"/>
          <w:lang w:val="fr-FR"/>
        </w:rPr>
      </w:pPr>
      <w:r w:rsidRPr="00A30822">
        <w:rPr>
          <w:rFonts w:asciiTheme="majorBidi" w:hAnsiTheme="majorBidi" w:cstheme="majorBidi"/>
          <w:sz w:val="22"/>
          <w:lang w:val="fr-FR"/>
        </w:rPr>
        <w:t>10.7 Les boulons - les goujons</w:t>
      </w:r>
    </w:p>
    <w:p w:rsidR="008F1759" w:rsidRPr="00A30822" w:rsidRDefault="008F1759" w:rsidP="008F1759">
      <w:pPr>
        <w:ind w:right="988"/>
        <w:jc w:val="lowKashida"/>
        <w:rPr>
          <w:rFonts w:asciiTheme="majorBidi" w:hAnsiTheme="majorBidi" w:cstheme="majorBidi"/>
          <w:sz w:val="22"/>
          <w:lang w:val="fr-FR"/>
        </w:rPr>
      </w:pPr>
      <w:r w:rsidRPr="00A30822">
        <w:rPr>
          <w:rFonts w:asciiTheme="majorBidi" w:hAnsiTheme="majorBidi" w:cstheme="majorBidi"/>
          <w:sz w:val="22"/>
          <w:lang w:val="fr-FR"/>
        </w:rPr>
        <w:t>10.8 Les goupilles</w:t>
      </w:r>
    </w:p>
    <w:p w:rsidR="008F1759" w:rsidRPr="00A30822" w:rsidRDefault="008F1759" w:rsidP="008F1759">
      <w:pPr>
        <w:ind w:right="988"/>
        <w:jc w:val="lowKashida"/>
        <w:rPr>
          <w:rFonts w:asciiTheme="majorBidi" w:hAnsiTheme="majorBidi" w:cstheme="majorBidi"/>
          <w:sz w:val="22"/>
          <w:lang w:val="fr-FR"/>
        </w:rPr>
      </w:pPr>
      <w:r w:rsidRPr="00A30822">
        <w:rPr>
          <w:rFonts w:asciiTheme="majorBidi" w:hAnsiTheme="majorBidi" w:cstheme="majorBidi"/>
          <w:sz w:val="22"/>
          <w:lang w:val="fr-FR"/>
        </w:rPr>
        <w:t>10.9 Les clavettes</w:t>
      </w:r>
    </w:p>
    <w:p w:rsidR="008F1759" w:rsidRPr="00A30822" w:rsidRDefault="008F1759" w:rsidP="008F1759">
      <w:pPr>
        <w:ind w:right="988"/>
        <w:jc w:val="lowKashida"/>
        <w:rPr>
          <w:rFonts w:asciiTheme="majorBidi" w:hAnsiTheme="majorBidi" w:cstheme="majorBidi"/>
          <w:sz w:val="22"/>
          <w:lang w:val="fr-FR"/>
        </w:rPr>
      </w:pPr>
      <w:r w:rsidRPr="00A30822">
        <w:rPr>
          <w:rFonts w:asciiTheme="majorBidi" w:hAnsiTheme="majorBidi" w:cstheme="majorBidi"/>
          <w:sz w:val="22"/>
          <w:lang w:val="fr-FR"/>
        </w:rPr>
        <w:t>10.10 Les organes élastiques. (</w:t>
      </w:r>
      <w:proofErr w:type="gramStart"/>
      <w:r w:rsidRPr="00A30822">
        <w:rPr>
          <w:rFonts w:asciiTheme="majorBidi" w:hAnsiTheme="majorBidi" w:cstheme="majorBidi"/>
          <w:sz w:val="22"/>
          <w:lang w:val="fr-FR"/>
        </w:rPr>
        <w:t>joints,...</w:t>
      </w:r>
      <w:proofErr w:type="gramEnd"/>
      <w:r w:rsidRPr="00A30822">
        <w:rPr>
          <w:rFonts w:asciiTheme="majorBidi" w:hAnsiTheme="majorBidi" w:cstheme="majorBidi"/>
          <w:sz w:val="22"/>
          <w:lang w:val="fr-FR"/>
        </w:rPr>
        <w:t>)</w:t>
      </w:r>
    </w:p>
    <w:p w:rsidR="008F1759" w:rsidRPr="00A30822" w:rsidRDefault="008F1759" w:rsidP="008F1759">
      <w:pPr>
        <w:ind w:right="988"/>
        <w:jc w:val="lowKashida"/>
        <w:rPr>
          <w:rFonts w:asciiTheme="majorBidi" w:hAnsiTheme="majorBidi" w:cstheme="majorBidi"/>
          <w:sz w:val="22"/>
          <w:lang w:val="fr-FR"/>
        </w:rPr>
      </w:pPr>
      <w:r w:rsidRPr="00A30822">
        <w:rPr>
          <w:rFonts w:asciiTheme="majorBidi" w:hAnsiTheme="majorBidi" w:cstheme="majorBidi"/>
          <w:sz w:val="22"/>
          <w:lang w:val="fr-FR"/>
        </w:rPr>
        <w:t xml:space="preserve">10.11 Les guidages (en </w:t>
      </w:r>
      <w:proofErr w:type="gramStart"/>
      <w:r w:rsidRPr="00A30822">
        <w:rPr>
          <w:rFonts w:asciiTheme="majorBidi" w:hAnsiTheme="majorBidi" w:cstheme="majorBidi"/>
          <w:sz w:val="22"/>
          <w:lang w:val="fr-FR"/>
        </w:rPr>
        <w:t>translation,  en</w:t>
      </w:r>
      <w:proofErr w:type="gramEnd"/>
      <w:r w:rsidRPr="00A30822">
        <w:rPr>
          <w:rFonts w:asciiTheme="majorBidi" w:hAnsiTheme="majorBidi" w:cstheme="majorBidi"/>
          <w:sz w:val="22"/>
          <w:lang w:val="fr-FR"/>
        </w:rPr>
        <w:t xml:space="preserve"> rotation)</w:t>
      </w:r>
    </w:p>
    <w:p w:rsidR="008F1759" w:rsidRDefault="008F1759" w:rsidP="008F1759">
      <w:pPr>
        <w:spacing w:after="200" w:line="276" w:lineRule="auto"/>
        <w:rPr>
          <w:rFonts w:asciiTheme="majorBidi" w:hAnsiTheme="majorBidi" w:cstheme="majorBidi"/>
          <w:color w:val="FF0000"/>
          <w:sz w:val="22"/>
          <w:lang w:val="fr-FR"/>
        </w:rPr>
      </w:pPr>
      <w:r>
        <w:rPr>
          <w:rFonts w:asciiTheme="majorBidi" w:hAnsiTheme="majorBidi" w:cstheme="majorBidi"/>
          <w:color w:val="FF0000"/>
          <w:sz w:val="22"/>
          <w:lang w:val="fr-FR"/>
        </w:rPr>
        <w:br w:type="page"/>
      </w:r>
    </w:p>
    <w:p w:rsidR="008F1759" w:rsidRPr="002525CA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2525CA">
        <w:rPr>
          <w:rFonts w:asciiTheme="majorBidi" w:hAnsiTheme="majorBidi" w:cstheme="majorBidi"/>
          <w:u w:val="single"/>
          <w:lang w:val="fr-FR" w:eastAsia="fr-FR"/>
        </w:rPr>
        <w:lastRenderedPageBreak/>
        <w:t xml:space="preserve">Chapitre 11 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 xml:space="preserve">Les assemblages </w:t>
      </w:r>
    </w:p>
    <w:p w:rsidR="008F1759" w:rsidRPr="004F077C" w:rsidRDefault="008F1759" w:rsidP="008F1759">
      <w:pPr>
        <w:ind w:right="988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11.1 Soudage, collage</w:t>
      </w:r>
    </w:p>
    <w:p w:rsidR="008F1759" w:rsidRPr="004F077C" w:rsidRDefault="008F1759" w:rsidP="008F1759">
      <w:pPr>
        <w:ind w:right="988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11.2 Assemblage par rivetage</w:t>
      </w:r>
    </w:p>
    <w:p w:rsidR="008F1759" w:rsidRPr="004F077C" w:rsidRDefault="008F1759" w:rsidP="008F1759">
      <w:pPr>
        <w:ind w:right="988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11.3 Assemblage par vis et écrou</w:t>
      </w:r>
    </w:p>
    <w:p w:rsidR="008F1759" w:rsidRPr="004F077C" w:rsidRDefault="008F1759" w:rsidP="008F1759">
      <w:pPr>
        <w:ind w:right="988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11.4 Assemblage des arbres par clavettes</w:t>
      </w:r>
    </w:p>
    <w:p w:rsidR="008F1759" w:rsidRPr="004F077C" w:rsidRDefault="008F1759" w:rsidP="008F1759">
      <w:pPr>
        <w:ind w:right="988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11.5 Assemblage par boulons et goupilles</w:t>
      </w:r>
    </w:p>
    <w:p w:rsidR="008F1759" w:rsidRPr="004F077C" w:rsidRDefault="008F1759" w:rsidP="008F1759">
      <w:pPr>
        <w:ind w:right="988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11.6 Assemblage par contraction</w:t>
      </w:r>
    </w:p>
    <w:p w:rsidR="008F1759" w:rsidRPr="00A30822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A30822">
        <w:rPr>
          <w:rFonts w:asciiTheme="majorBidi" w:hAnsiTheme="majorBidi" w:cstheme="majorBidi"/>
          <w:u w:val="single"/>
          <w:lang w:val="fr-FR" w:eastAsia="fr-FR"/>
        </w:rPr>
        <w:t xml:space="preserve">Chapitre 12 </w:t>
      </w:r>
    </w:p>
    <w:p w:rsidR="008F1759" w:rsidRPr="00A30822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A30822">
        <w:rPr>
          <w:rFonts w:asciiTheme="majorBidi" w:hAnsiTheme="majorBidi" w:cstheme="majorBidi"/>
          <w:lang w:val="fr-FR" w:eastAsia="fr-FR"/>
        </w:rPr>
        <w:t>Etanchéité et protection des liaisons</w:t>
      </w:r>
    </w:p>
    <w:p w:rsidR="008F1759" w:rsidRPr="00A30822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A30822">
        <w:rPr>
          <w:rFonts w:asciiTheme="majorBidi" w:hAnsiTheme="majorBidi" w:cstheme="majorBidi"/>
          <w:sz w:val="22"/>
          <w:szCs w:val="26"/>
          <w:lang w:val="fr-FR" w:eastAsia="fr-FR"/>
        </w:rPr>
        <w:t>12.1 Etanchéité entre pièces mobiles ou fixes</w:t>
      </w:r>
    </w:p>
    <w:p w:rsidR="008F1759" w:rsidRPr="00A30822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A30822">
        <w:rPr>
          <w:rFonts w:asciiTheme="majorBidi" w:hAnsiTheme="majorBidi" w:cstheme="majorBidi"/>
          <w:sz w:val="22"/>
          <w:szCs w:val="26"/>
          <w:lang w:val="fr-FR" w:eastAsia="fr-FR"/>
        </w:rPr>
        <w:t>12.2 compromis étanchéité - frottement - lubrification</w:t>
      </w:r>
    </w:p>
    <w:p w:rsidR="008F1759" w:rsidRPr="00A30822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A30822">
        <w:rPr>
          <w:rFonts w:asciiTheme="majorBidi" w:hAnsiTheme="majorBidi" w:cstheme="majorBidi"/>
          <w:sz w:val="22"/>
          <w:szCs w:val="26"/>
          <w:lang w:val="fr-FR" w:eastAsia="fr-FR"/>
        </w:rPr>
        <w:t>12.3 Applications joints composites</w:t>
      </w:r>
    </w:p>
    <w:p w:rsidR="008F1759" w:rsidRPr="00A30822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A30822">
        <w:rPr>
          <w:rFonts w:asciiTheme="majorBidi" w:hAnsiTheme="majorBidi" w:cstheme="majorBidi"/>
          <w:sz w:val="22"/>
          <w:szCs w:val="26"/>
          <w:lang w:val="fr-FR" w:eastAsia="fr-FR"/>
        </w:rPr>
        <w:t>12.4 Protection contre l’introduction de corps étrangers</w:t>
      </w:r>
    </w:p>
    <w:p w:rsidR="008F1759" w:rsidRPr="002525CA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2525CA">
        <w:rPr>
          <w:rFonts w:asciiTheme="majorBidi" w:hAnsiTheme="majorBidi" w:cstheme="majorBidi"/>
          <w:u w:val="single"/>
          <w:lang w:val="fr-FR" w:eastAsia="fr-FR"/>
        </w:rPr>
        <w:t xml:space="preserve">Chapitre 13 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 xml:space="preserve">Les accouplements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13.1 Classification des accouplements </w:t>
      </w:r>
    </w:p>
    <w:p w:rsidR="008F1759" w:rsidRPr="004F077C" w:rsidRDefault="008F1759" w:rsidP="008F1759">
      <w:pPr>
        <w:ind w:firstLine="72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13.1.1 La liaison à caractère permanent (accouplements fixes)</w:t>
      </w:r>
    </w:p>
    <w:p w:rsidR="008F1759" w:rsidRPr="004F077C" w:rsidRDefault="008F1759" w:rsidP="008F1759">
      <w:pPr>
        <w:ind w:firstLine="72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13.1.2 Manchons rigides</w:t>
      </w:r>
    </w:p>
    <w:p w:rsidR="008F1759" w:rsidRPr="004F077C" w:rsidRDefault="008F1759" w:rsidP="008F1759">
      <w:pPr>
        <w:ind w:firstLine="72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13.1.3 Manchons de dilatation</w:t>
      </w:r>
    </w:p>
    <w:p w:rsidR="008F1759" w:rsidRPr="004F077C" w:rsidRDefault="008F1759" w:rsidP="008F1759">
      <w:pPr>
        <w:ind w:firstLine="72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13.1.4 Manchons de sécurité</w:t>
      </w:r>
    </w:p>
    <w:p w:rsidR="008F1759" w:rsidRPr="004F077C" w:rsidRDefault="008F1759" w:rsidP="008F1759">
      <w:pPr>
        <w:ind w:firstLine="72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13.1.5 Manchons élastiques</w:t>
      </w:r>
    </w:p>
    <w:p w:rsidR="008F1759" w:rsidRPr="004F077C" w:rsidRDefault="008F1759" w:rsidP="008F1759">
      <w:pPr>
        <w:ind w:firstLine="72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13.1.6 Joints </w:t>
      </w:r>
    </w:p>
    <w:p w:rsidR="008F1759" w:rsidRDefault="008F1759" w:rsidP="008F1759">
      <w:pPr>
        <w:ind w:left="720" w:firstLine="72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13.1.6.1 Joint d’Oldham</w:t>
      </w:r>
    </w:p>
    <w:p w:rsidR="008F1759" w:rsidRPr="004F077C" w:rsidRDefault="008F1759" w:rsidP="008F1759">
      <w:pPr>
        <w:ind w:left="720" w:firstLine="72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13.1.6.2 Joint de Cardan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13.2 La liaison à un caractère temporaire (accouplements mobiles) </w:t>
      </w:r>
    </w:p>
    <w:p w:rsidR="008F1759" w:rsidRPr="004F077C" w:rsidRDefault="008F1759" w:rsidP="008F1759">
      <w:pPr>
        <w:ind w:firstLine="72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13.2.1 Manchons débrayables</w:t>
      </w:r>
    </w:p>
    <w:p w:rsidR="008F1759" w:rsidRPr="004F077C" w:rsidRDefault="008F1759" w:rsidP="008F1759">
      <w:pPr>
        <w:ind w:firstLine="72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13.2.2 Embrayages</w:t>
      </w:r>
    </w:p>
    <w:p w:rsidR="008F1759" w:rsidRPr="004F077C" w:rsidRDefault="008F1759" w:rsidP="008F1759">
      <w:pPr>
        <w:ind w:firstLine="72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13.2.3 Coupleurs</w:t>
      </w:r>
    </w:p>
    <w:p w:rsidR="008F1759" w:rsidRPr="004F077C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4F077C">
        <w:rPr>
          <w:rFonts w:asciiTheme="majorBidi" w:hAnsiTheme="majorBidi" w:cstheme="majorBidi"/>
          <w:u w:val="single"/>
          <w:lang w:val="fr-FR" w:eastAsia="fr-FR"/>
        </w:rPr>
        <w:t>Chapitre 14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>Introduction au logiciel AUTOCAD</w:t>
      </w:r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14.1 Présentation du logiciel </w:t>
      </w:r>
      <w:proofErr w:type="spell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Autocad</w:t>
      </w:r>
      <w:proofErr w:type="spellEnd"/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14.2 Savoir lire et exécuter un plan d’architecture</w:t>
      </w:r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14.3 Savoir lire et exécuter un plan électrique</w:t>
      </w:r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14.4 Savoir lire et exécuter un plan mécanique (sanitaire, </w:t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climatisation,…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)</w:t>
      </w:r>
    </w:p>
    <w:p w:rsidR="008F1759" w:rsidRPr="004F077C" w:rsidRDefault="008F1759" w:rsidP="008F1759">
      <w:pPr>
        <w:ind w:left="426" w:hanging="426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8F1759" w:rsidRPr="004F077C" w:rsidRDefault="008F1759" w:rsidP="008F1759">
      <w:pPr>
        <w:spacing w:after="200" w:line="276" w:lineRule="auto"/>
        <w:rPr>
          <w:rFonts w:asciiTheme="majorBidi" w:hAnsiTheme="majorBidi" w:cstheme="majorBidi"/>
          <w:lang w:val="fr-FR"/>
        </w:rPr>
      </w:pPr>
    </w:p>
    <w:p w:rsidR="003E2118" w:rsidRPr="008F1759" w:rsidRDefault="003E2118" w:rsidP="00366D82">
      <w:pPr>
        <w:spacing w:after="200" w:line="276" w:lineRule="auto"/>
        <w:rPr>
          <w:lang w:val="fr-FR"/>
        </w:rPr>
      </w:pPr>
    </w:p>
    <w:sectPr w:rsidR="003E2118" w:rsidRPr="008F1759" w:rsidSect="00366D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1AE" w:rsidRDefault="00F00766">
      <w:r>
        <w:separator/>
      </w:r>
    </w:p>
  </w:endnote>
  <w:endnote w:type="continuationSeparator" w:id="0">
    <w:p w:rsidR="00F751AE" w:rsidRDefault="00F0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D82" w:rsidRDefault="00366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D82" w:rsidRDefault="00366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D82" w:rsidRDefault="00366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1AE" w:rsidRDefault="00F00766">
      <w:r>
        <w:separator/>
      </w:r>
    </w:p>
  </w:footnote>
  <w:footnote w:type="continuationSeparator" w:id="0">
    <w:p w:rsidR="00F751AE" w:rsidRDefault="00F0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D82" w:rsidRDefault="00366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366D82" w:rsidRDefault="00366D82" w:rsidP="00366D82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D82" w:rsidRDefault="00366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1606A9"/>
    <w:rsid w:val="00366D82"/>
    <w:rsid w:val="003E2118"/>
    <w:rsid w:val="007F4484"/>
    <w:rsid w:val="008F1759"/>
    <w:rsid w:val="00CE3C2D"/>
    <w:rsid w:val="00E472C5"/>
    <w:rsid w:val="00F00766"/>
    <w:rsid w:val="00F7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5FD2B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8</cp:revision>
  <dcterms:created xsi:type="dcterms:W3CDTF">2019-07-27T04:58:00Z</dcterms:created>
  <dcterms:modified xsi:type="dcterms:W3CDTF">2019-07-27T05:02:00Z</dcterms:modified>
</cp:coreProperties>
</file>